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2514" w14:textId="77777777" w:rsidR="00217409" w:rsidRPr="008004AA" w:rsidRDefault="00217409" w:rsidP="00217409">
      <w:pPr>
        <w:spacing w:after="0" w:line="240" w:lineRule="auto"/>
        <w:ind w:left="5818" w:right="-288"/>
        <w:jc w:val="right"/>
        <w:rPr>
          <w:rFonts w:eastAsia="Times New Roman" w:cs="Times New Roman"/>
          <w:b/>
          <w:lang w:eastAsia="ru-RU"/>
        </w:rPr>
      </w:pPr>
      <w:r w:rsidRPr="008004AA">
        <w:rPr>
          <w:rFonts w:eastAsia="Times New Roman" w:cs="Times New Roman"/>
          <w:b/>
          <w:lang w:eastAsia="ru-RU"/>
        </w:rPr>
        <w:t>УТВЕРЖДЕНО</w:t>
      </w:r>
    </w:p>
    <w:p w14:paraId="790E7257" w14:textId="02A83C37" w:rsidR="00217409" w:rsidRPr="008004AA" w:rsidRDefault="00217409" w:rsidP="00217409">
      <w:pPr>
        <w:spacing w:after="0" w:line="240" w:lineRule="auto"/>
        <w:ind w:left="5818" w:right="-288"/>
        <w:jc w:val="right"/>
        <w:rPr>
          <w:rFonts w:eastAsia="Times New Roman" w:cs="Times New Roman"/>
          <w:b/>
          <w:lang w:eastAsia="ru-RU"/>
        </w:rPr>
      </w:pPr>
      <w:r w:rsidRPr="008004AA">
        <w:rPr>
          <w:rFonts w:eastAsia="Times New Roman" w:cs="Times New Roman"/>
          <w:b/>
          <w:lang w:eastAsia="ru-RU"/>
        </w:rPr>
        <w:t xml:space="preserve">ИП </w:t>
      </w:r>
      <w:r w:rsidR="00631A98">
        <w:rPr>
          <w:rFonts w:eastAsia="Times New Roman" w:cs="Times New Roman"/>
          <w:b/>
          <w:lang w:eastAsia="ru-RU"/>
        </w:rPr>
        <w:t>Романюк Р. Р.</w:t>
      </w:r>
    </w:p>
    <w:p w14:paraId="3A455A08" w14:textId="608B5750" w:rsidR="00217409" w:rsidRPr="008004AA" w:rsidRDefault="00631A98" w:rsidP="00217409">
      <w:pPr>
        <w:spacing w:after="0" w:line="240" w:lineRule="auto"/>
        <w:ind w:left="5818" w:right="-288"/>
        <w:jc w:val="right"/>
        <w:rPr>
          <w:rFonts w:eastAsia="Times New Roman" w:cs="Times New Roman"/>
          <w:b/>
          <w:lang w:eastAsia="ru-RU"/>
        </w:rPr>
      </w:pPr>
      <w:r w:rsidRPr="008004AA">
        <w:rPr>
          <w:rFonts w:eastAsia="Times New Roman" w:cs="Times New Roman"/>
          <w:b/>
          <w:lang w:eastAsia="ru-RU"/>
        </w:rPr>
        <w:t>«</w:t>
      </w:r>
      <w:r w:rsidR="00327347">
        <w:rPr>
          <w:rFonts w:eastAsia="Times New Roman" w:cs="Times New Roman"/>
          <w:b/>
          <w:lang w:eastAsia="ru-RU"/>
        </w:rPr>
        <w:t>11</w:t>
      </w:r>
      <w:r w:rsidR="00217409" w:rsidRPr="008004AA">
        <w:rPr>
          <w:rFonts w:eastAsia="Times New Roman" w:cs="Times New Roman"/>
          <w:b/>
          <w:lang w:eastAsia="ru-RU"/>
        </w:rPr>
        <w:t>»</w:t>
      </w:r>
      <w:r w:rsidR="00217409">
        <w:rPr>
          <w:rFonts w:eastAsia="Times New Roman" w:cs="Times New Roman"/>
          <w:b/>
          <w:lang w:eastAsia="ru-RU"/>
        </w:rPr>
        <w:t xml:space="preserve"> </w:t>
      </w:r>
      <w:r w:rsidR="00327347">
        <w:rPr>
          <w:rFonts w:eastAsia="Times New Roman" w:cs="Times New Roman"/>
          <w:b/>
          <w:lang w:eastAsia="ru-RU"/>
        </w:rPr>
        <w:t>июля</w:t>
      </w:r>
      <w:r w:rsidR="00217409">
        <w:rPr>
          <w:rFonts w:eastAsia="Times New Roman" w:cs="Times New Roman"/>
          <w:b/>
          <w:lang w:eastAsia="ru-RU"/>
        </w:rPr>
        <w:t xml:space="preserve"> </w:t>
      </w:r>
      <w:r w:rsidR="00217409" w:rsidRPr="008004AA">
        <w:rPr>
          <w:rFonts w:eastAsia="Times New Roman" w:cs="Times New Roman"/>
          <w:b/>
          <w:lang w:eastAsia="ru-RU"/>
        </w:rPr>
        <w:t>20</w:t>
      </w:r>
      <w:r>
        <w:rPr>
          <w:rFonts w:eastAsia="Times New Roman" w:cs="Times New Roman"/>
          <w:b/>
          <w:lang w:eastAsia="ru-RU"/>
        </w:rPr>
        <w:t xml:space="preserve">22 </w:t>
      </w:r>
      <w:r w:rsidR="00217409" w:rsidRPr="008004AA">
        <w:rPr>
          <w:rFonts w:eastAsia="Times New Roman" w:cs="Times New Roman"/>
          <w:b/>
          <w:lang w:eastAsia="ru-RU"/>
        </w:rPr>
        <w:t>г</w:t>
      </w:r>
      <w:r w:rsidR="00217409">
        <w:rPr>
          <w:rFonts w:eastAsia="Times New Roman" w:cs="Times New Roman"/>
          <w:b/>
          <w:lang w:eastAsia="ru-RU"/>
        </w:rPr>
        <w:t>.</w:t>
      </w:r>
    </w:p>
    <w:p w14:paraId="119BCA70" w14:textId="77777777" w:rsidR="006145FD" w:rsidRPr="008004AA" w:rsidRDefault="006145FD" w:rsidP="007B3323">
      <w:pPr>
        <w:spacing w:after="0" w:line="240" w:lineRule="auto"/>
        <w:ind w:left="5818" w:right="-288"/>
        <w:jc w:val="both"/>
        <w:rPr>
          <w:rFonts w:eastAsia="Times New Roman" w:cs="Times New Roman"/>
          <w:b/>
          <w:lang w:eastAsia="ru-RU"/>
        </w:rPr>
      </w:pPr>
    </w:p>
    <w:p w14:paraId="20B1E2E3" w14:textId="77777777" w:rsidR="00BC7432" w:rsidRPr="008004AA" w:rsidRDefault="006145FD" w:rsidP="007B3323">
      <w:pPr>
        <w:jc w:val="center"/>
        <w:rPr>
          <w:b/>
        </w:rPr>
      </w:pPr>
      <w:r w:rsidRPr="008004AA">
        <w:rPr>
          <w:b/>
        </w:rPr>
        <w:t>Декларация о</w:t>
      </w:r>
      <w:r w:rsidR="009F0549" w:rsidRPr="008004AA">
        <w:rPr>
          <w:b/>
        </w:rPr>
        <w:t xml:space="preserve"> </w:t>
      </w:r>
      <w:r w:rsidRPr="008004AA">
        <w:rPr>
          <w:b/>
        </w:rPr>
        <w:t xml:space="preserve">рисках, связанных </w:t>
      </w:r>
      <w:r w:rsidR="004343D6" w:rsidRPr="008004AA">
        <w:rPr>
          <w:b/>
        </w:rPr>
        <w:t>с производными финансовыми инструментами и структурными продуктами.</w:t>
      </w:r>
    </w:p>
    <w:p w14:paraId="6359DAC8" w14:textId="77777777" w:rsidR="004343D6" w:rsidRPr="008004AA" w:rsidRDefault="004343D6" w:rsidP="007B3323">
      <w:pPr>
        <w:spacing w:after="0" w:line="240" w:lineRule="auto"/>
        <w:ind w:firstLine="375"/>
        <w:jc w:val="both"/>
        <w:rPr>
          <w:rFonts w:cs="Times New Roman"/>
          <w:b/>
        </w:rPr>
      </w:pPr>
      <w:r w:rsidRPr="008004AA">
        <w:rPr>
          <w:rFonts w:cs="Times New Roman"/>
        </w:rPr>
        <w:t xml:space="preserve">Цель настоящей Декларации — предоставить вам информацию об основных рисках, связанных </w:t>
      </w:r>
      <w:r w:rsidRPr="008004AA">
        <w:rPr>
          <w:rFonts w:cs="Times New Roman"/>
          <w:b/>
        </w:rPr>
        <w:t>с производными финансовыми инструментами.</w:t>
      </w:r>
    </w:p>
    <w:p w14:paraId="092B0CF7" w14:textId="77777777" w:rsidR="004343D6" w:rsidRPr="008004AA" w:rsidRDefault="004343D6" w:rsidP="007B3323">
      <w:pPr>
        <w:spacing w:after="0" w:line="240" w:lineRule="auto"/>
        <w:ind w:firstLine="375"/>
        <w:jc w:val="both"/>
        <w:rPr>
          <w:rFonts w:cs="Times New Roman"/>
        </w:rPr>
      </w:pPr>
      <w:r w:rsidRPr="008004AA">
        <w:rPr>
          <w:rFonts w:cs="Times New Roman"/>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sidRPr="008004AA">
        <w:rPr>
          <w:rFonts w:cs="Times New Roman"/>
        </w:rPr>
        <w:t>бо́льшим</w:t>
      </w:r>
      <w:proofErr w:type="spellEnd"/>
      <w:r w:rsidRPr="008004AA">
        <w:rPr>
          <w:rFonts w:cs="Times New Roman"/>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14:paraId="539D1F32" w14:textId="77777777" w:rsidR="004343D6" w:rsidRPr="008004AA" w:rsidRDefault="007B3323" w:rsidP="007B3323">
      <w:pPr>
        <w:spacing w:after="0" w:line="240" w:lineRule="auto"/>
        <w:ind w:firstLine="375"/>
        <w:jc w:val="both"/>
        <w:rPr>
          <w:rFonts w:cs="Times New Roman"/>
        </w:rPr>
      </w:pPr>
      <w:r w:rsidRPr="008004AA">
        <w:rPr>
          <w:rFonts w:cs="Times New Roman"/>
        </w:rPr>
        <w:t>Настоящая Д</w:t>
      </w:r>
      <w:r w:rsidR="004343D6" w:rsidRPr="008004AA">
        <w:rPr>
          <w:rFonts w:cs="Times New Roman"/>
        </w:rPr>
        <w:t>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14:paraId="4DC2953C" w14:textId="77777777" w:rsidR="004343D6" w:rsidRPr="008004AA" w:rsidRDefault="004343D6" w:rsidP="007B3323">
      <w:pPr>
        <w:spacing w:after="0" w:line="240" w:lineRule="auto"/>
        <w:ind w:firstLine="375"/>
        <w:jc w:val="both"/>
        <w:rPr>
          <w:rFonts w:cs="Times New Roman"/>
        </w:rPr>
      </w:pPr>
    </w:p>
    <w:p w14:paraId="3CE3F0FE" w14:textId="77777777" w:rsidR="004343D6" w:rsidRPr="008004AA" w:rsidRDefault="004343D6" w:rsidP="007B3323">
      <w:pPr>
        <w:spacing w:after="0" w:line="240" w:lineRule="auto"/>
        <w:ind w:firstLine="375"/>
        <w:jc w:val="both"/>
        <w:rPr>
          <w:rFonts w:cs="Times New Roman"/>
        </w:rPr>
      </w:pPr>
      <w:r w:rsidRPr="008004AA">
        <w:rPr>
          <w:rFonts w:cs="Times New Roman"/>
          <w:b/>
        </w:rPr>
        <w:t>Рыночный риск</w:t>
      </w:r>
      <w:r w:rsidR="008004AA" w:rsidRPr="008004AA">
        <w:rPr>
          <w:rFonts w:cs="Times New Roman"/>
          <w:b/>
        </w:rPr>
        <w:t>.</w:t>
      </w:r>
      <w:r w:rsidR="008004AA">
        <w:rPr>
          <w:rFonts w:cs="Times New Roman"/>
        </w:rPr>
        <w:t xml:space="preserve"> </w:t>
      </w:r>
      <w:r w:rsidRPr="008004AA">
        <w:rPr>
          <w:rFonts w:cs="Times New Roman"/>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14:paraId="0FA12415" w14:textId="77777777" w:rsidR="004343D6" w:rsidRPr="008004AA" w:rsidRDefault="004343D6" w:rsidP="007B3323">
      <w:pPr>
        <w:spacing w:after="0" w:line="240" w:lineRule="auto"/>
        <w:ind w:firstLine="375"/>
        <w:jc w:val="both"/>
        <w:rPr>
          <w:rFonts w:cs="Times New Roman"/>
        </w:rPr>
      </w:pPr>
      <w:r w:rsidRPr="008004AA">
        <w:rPr>
          <w:rFonts w:cs="Times New Roman"/>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14:paraId="33F1EB02" w14:textId="77777777" w:rsidR="004343D6" w:rsidRPr="008004AA" w:rsidRDefault="004343D6" w:rsidP="007B3323">
      <w:pPr>
        <w:spacing w:after="0" w:line="240" w:lineRule="auto"/>
        <w:ind w:firstLine="375"/>
        <w:jc w:val="both"/>
        <w:rPr>
          <w:rFonts w:cs="Times New Roman"/>
        </w:rPr>
      </w:pPr>
      <w:r w:rsidRPr="008004AA">
        <w:rPr>
          <w:rFonts w:cs="Times New Roman"/>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14:paraId="62D17A1A" w14:textId="77777777" w:rsidR="004343D6" w:rsidRPr="008004AA" w:rsidRDefault="004343D6" w:rsidP="007B3323">
      <w:pPr>
        <w:spacing w:after="0" w:line="240" w:lineRule="auto"/>
        <w:ind w:firstLine="375"/>
        <w:jc w:val="both"/>
        <w:rPr>
          <w:rFonts w:cs="Times New Roman"/>
        </w:rPr>
      </w:pPr>
      <w:r w:rsidRPr="008004AA">
        <w:rPr>
          <w:rFonts w:cs="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14:paraId="19461123" w14:textId="77777777" w:rsidR="004343D6" w:rsidRPr="008004AA" w:rsidRDefault="004343D6" w:rsidP="007B3323">
      <w:pPr>
        <w:spacing w:after="0" w:line="240" w:lineRule="auto"/>
        <w:ind w:firstLine="375"/>
        <w:jc w:val="both"/>
        <w:rPr>
          <w:rFonts w:cs="Times New Roman"/>
        </w:rPr>
      </w:pPr>
      <w:r w:rsidRPr="008004AA">
        <w:rPr>
          <w:rFonts w:cs="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14:paraId="300C2F74" w14:textId="77777777" w:rsidR="004343D6" w:rsidRPr="008004AA" w:rsidRDefault="004343D6" w:rsidP="007B3323">
      <w:pPr>
        <w:spacing w:after="0" w:line="240" w:lineRule="auto"/>
        <w:ind w:firstLine="375"/>
        <w:jc w:val="both"/>
        <w:rPr>
          <w:rFonts w:cs="Times New Roman"/>
        </w:rPr>
      </w:pPr>
      <w:r w:rsidRPr="008004AA">
        <w:rPr>
          <w:rFonts w:cs="Times New Roman"/>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14:paraId="5E853068" w14:textId="77777777" w:rsidR="004343D6" w:rsidRPr="008004AA" w:rsidRDefault="004343D6" w:rsidP="007B3323">
      <w:pPr>
        <w:spacing w:after="0" w:line="240" w:lineRule="auto"/>
        <w:ind w:firstLine="375"/>
        <w:jc w:val="both"/>
        <w:rPr>
          <w:rFonts w:cs="Times New Roman"/>
        </w:rPr>
      </w:pPr>
    </w:p>
    <w:p w14:paraId="369EF99F" w14:textId="77777777" w:rsidR="004343D6" w:rsidRPr="008004AA" w:rsidRDefault="004343D6" w:rsidP="007B3323">
      <w:pPr>
        <w:spacing w:after="0" w:line="240" w:lineRule="auto"/>
        <w:ind w:firstLine="375"/>
        <w:jc w:val="both"/>
        <w:rPr>
          <w:rFonts w:cs="Times New Roman"/>
        </w:rPr>
      </w:pPr>
      <w:r w:rsidRPr="008004AA">
        <w:rPr>
          <w:rFonts w:cs="Times New Roman"/>
          <w:b/>
        </w:rPr>
        <w:t>Риск ликвидности.</w:t>
      </w:r>
      <w:r w:rsidRPr="008004AA">
        <w:rPr>
          <w:rFonts w:cs="Times New Roman"/>
        </w:rPr>
        <w:t xml:space="preserve"> 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14:paraId="0BDB1B90" w14:textId="77777777" w:rsidR="004343D6" w:rsidRPr="008004AA" w:rsidRDefault="004343D6" w:rsidP="007B3323">
      <w:pPr>
        <w:spacing w:after="0" w:line="240" w:lineRule="auto"/>
        <w:ind w:firstLine="375"/>
        <w:jc w:val="both"/>
        <w:rPr>
          <w:rFonts w:cs="Times New Roman"/>
        </w:rPr>
      </w:pPr>
      <w:r w:rsidRPr="008004AA">
        <w:rPr>
          <w:rFonts w:cs="Times New Roman"/>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6FBD0BC5" w14:textId="77777777" w:rsidR="004343D6" w:rsidRPr="008004AA" w:rsidRDefault="004343D6" w:rsidP="007B3323">
      <w:pPr>
        <w:spacing w:after="0" w:line="240" w:lineRule="auto"/>
        <w:ind w:firstLine="375"/>
        <w:jc w:val="both"/>
        <w:rPr>
          <w:rFonts w:cs="Times New Roman"/>
        </w:rPr>
      </w:pPr>
      <w:r w:rsidRPr="008004AA">
        <w:rPr>
          <w:rFonts w:cs="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42798811" w14:textId="77777777" w:rsidR="004343D6" w:rsidRPr="008004AA" w:rsidRDefault="004343D6" w:rsidP="007B3323">
      <w:pPr>
        <w:spacing w:after="0" w:line="240" w:lineRule="auto"/>
        <w:ind w:firstLine="375"/>
        <w:jc w:val="both"/>
        <w:rPr>
          <w:rFonts w:cs="Times New Roman"/>
        </w:rPr>
      </w:pPr>
      <w:r w:rsidRPr="008004AA">
        <w:rPr>
          <w:rFonts w:cs="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14:paraId="4B65C59F" w14:textId="77777777" w:rsidR="004343D6" w:rsidRPr="008004AA" w:rsidRDefault="004343D6" w:rsidP="007B3323">
      <w:pPr>
        <w:spacing w:after="0" w:line="240" w:lineRule="auto"/>
        <w:ind w:firstLine="375"/>
        <w:jc w:val="both"/>
        <w:rPr>
          <w:rFonts w:cs="Times New Roman"/>
        </w:rPr>
      </w:pPr>
    </w:p>
    <w:p w14:paraId="3C09EE43" w14:textId="4DA40F0E" w:rsidR="000842B4" w:rsidRPr="008004AA" w:rsidRDefault="004343D6" w:rsidP="00631A98">
      <w:pPr>
        <w:spacing w:after="0" w:line="240" w:lineRule="auto"/>
        <w:ind w:firstLine="375"/>
        <w:jc w:val="both"/>
      </w:pPr>
      <w:r w:rsidRPr="008004AA">
        <w:rPr>
          <w:rFonts w:cs="Times New Roman"/>
          <w:b/>
        </w:rPr>
        <w:t>Системный риск.</w:t>
      </w:r>
      <w:r w:rsidRPr="008004AA">
        <w:rPr>
          <w:rFonts w:cs="Times New Roman"/>
        </w:rPr>
        <w:t xml:space="preserve"> 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 </w:t>
      </w:r>
      <w:r w:rsidR="00E955AE" w:rsidRPr="008004AA">
        <w:t xml:space="preserve">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 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планам инвестора. 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инвестор в большинстве случаев не сможет полагаться на защиту своих прав и законных интересов российскими уполномоченными органами. Раскрытие информации 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w:t>
      </w:r>
      <w:r w:rsidR="00E955AE" w:rsidRPr="008004AA">
        <w:lastRenderedPageBreak/>
        <w:t xml:space="preserve">действующим за рубежом, и на английском языке. Клиенту необходимо оценить свою готовность анализировать информацию на английском языке, а также то, понимает ли инвестор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инвестора.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необходимо учитывать вероятность 10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14:paraId="64064AF7" w14:textId="77777777" w:rsidR="00604055" w:rsidRPr="008004AA" w:rsidRDefault="00604055" w:rsidP="00604055">
      <w:pPr>
        <w:spacing w:after="0" w:line="240" w:lineRule="auto"/>
        <w:ind w:firstLine="375"/>
        <w:jc w:val="both"/>
        <w:rPr>
          <w:rFonts w:eastAsia="Times New Roman" w:cs="Times New Roman"/>
          <w:lang w:eastAsia="ru-RU"/>
        </w:rPr>
      </w:pPr>
      <w:r w:rsidRPr="008004AA">
        <w:rPr>
          <w:rFonts w:cs="Times New Roman"/>
        </w:rPr>
        <w:t xml:space="preserve">Клиент уведомлен об отсутствии судебной защиты в соответствии с п.2 ст. 1062 Гражданского кодекса Российской Федерации по сделкам с производными финансовыми инструментами. </w:t>
      </w:r>
      <w:r w:rsidRPr="008004AA">
        <w:rPr>
          <w:rFonts w:eastAsia="Times New Roman" w:cs="Times New Roman"/>
          <w:lang w:eastAsia="ru-RU"/>
        </w:rPr>
        <w:t>Требования по таким сделкам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 Требования, связанные с участием физических лиц в указанных сделках, подлежат судебной защите только при условии их заключения на бирже, а</w:t>
      </w:r>
      <w:r w:rsidR="008004AA">
        <w:rPr>
          <w:rFonts w:eastAsia="Times New Roman" w:cs="Times New Roman"/>
          <w:lang w:eastAsia="ru-RU"/>
        </w:rPr>
        <w:t xml:space="preserve"> также в иных случаях,</w:t>
      </w:r>
      <w:r w:rsidRPr="008004AA">
        <w:rPr>
          <w:rFonts w:eastAsia="Times New Roman" w:cs="Times New Roman"/>
          <w:lang w:eastAsia="ru-RU"/>
        </w:rPr>
        <w:t xml:space="preserve"> предусмотренных законом.</w:t>
      </w:r>
    </w:p>
    <w:p w14:paraId="6076E2A2" w14:textId="77777777" w:rsidR="00604055" w:rsidRPr="008004AA" w:rsidRDefault="00604055" w:rsidP="00604055">
      <w:pPr>
        <w:spacing w:after="0" w:line="240" w:lineRule="auto"/>
        <w:ind w:firstLine="375"/>
        <w:jc w:val="both"/>
        <w:rPr>
          <w:rFonts w:eastAsia="Times New Roman" w:cs="Times New Roman"/>
          <w:lang w:eastAsia="ru-RU"/>
        </w:rPr>
      </w:pPr>
    </w:p>
    <w:p w14:paraId="4BE15930" w14:textId="77777777" w:rsidR="004343D6" w:rsidRPr="008004AA" w:rsidRDefault="00E955AE" w:rsidP="00604055">
      <w:pPr>
        <w:ind w:firstLine="375"/>
        <w:jc w:val="both"/>
        <w:rPr>
          <w:b/>
          <w:u w:val="single"/>
        </w:rPr>
      </w:pPr>
      <w:r w:rsidRPr="008004AA">
        <w:rPr>
          <w:b/>
          <w:u w:val="single"/>
        </w:rPr>
        <w:t>Риски, связанные с приобретением структурных нот</w:t>
      </w:r>
      <w:r w:rsidR="004343D6" w:rsidRPr="008004AA">
        <w:rPr>
          <w:b/>
          <w:u w:val="single"/>
        </w:rPr>
        <w:t>.</w:t>
      </w:r>
    </w:p>
    <w:p w14:paraId="1F275557" w14:textId="6ED176BB" w:rsidR="008004AA" w:rsidRPr="008004AA" w:rsidRDefault="008004AA" w:rsidP="008004AA">
      <w:pPr>
        <w:spacing w:after="0" w:line="240" w:lineRule="auto"/>
        <w:ind w:firstLine="375"/>
        <w:jc w:val="both"/>
        <w:rPr>
          <w:rFonts w:cs="Times New Roman"/>
          <w:b/>
        </w:rPr>
      </w:pPr>
      <w:r w:rsidRPr="008004AA">
        <w:rPr>
          <w:rFonts w:cs="Times New Roman"/>
          <w:b/>
        </w:rPr>
        <w:t xml:space="preserve">Каждый потенциальный инвестор должен определить, основываясь на собственном независимом обзоре и таком профессиональном совете, который он сочтет целесообразным в данных обстоятельствах, </w:t>
      </w:r>
      <w:r w:rsidR="00631A98" w:rsidRPr="008004AA">
        <w:rPr>
          <w:rFonts w:cs="Times New Roman"/>
          <w:b/>
        </w:rPr>
        <w:t>что покупка</w:t>
      </w:r>
      <w:r w:rsidRPr="008004AA">
        <w:rPr>
          <w:rFonts w:cs="Times New Roman"/>
          <w:b/>
        </w:rPr>
        <w:t xml:space="preserve"> структурного продукта полностью соответствует его финансовым потребностям, целям, полностью соответствует его инвестиционному профилю и является подходящим вложением, несмотря на явные и существенные риски, присущие инвестированию или владению структурным продуктом.</w:t>
      </w:r>
    </w:p>
    <w:p w14:paraId="4301A859" w14:textId="77777777" w:rsidR="008004AA" w:rsidRPr="008004AA" w:rsidRDefault="008004AA" w:rsidP="008004AA">
      <w:pPr>
        <w:spacing w:after="0" w:line="240" w:lineRule="auto"/>
        <w:ind w:firstLine="375"/>
        <w:jc w:val="both"/>
        <w:rPr>
          <w:rFonts w:cs="Times New Roman"/>
        </w:rPr>
      </w:pPr>
      <w:r w:rsidRPr="008004AA">
        <w:rPr>
          <w:rFonts w:cs="Times New Roman"/>
        </w:rPr>
        <w:t>Уведомляем о повышенных рисках, связанных с финансовыми инструментами для квалифицированных инвесторов,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также о том, что физическим лицам, являющимся владельцами ценных бумаг, предназначенных для квалифицированных инвесторов, в соответствии с п. 2 ст. 19 Федерального закона №46-ФЗ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14:paraId="31A42B96" w14:textId="77777777" w:rsidR="008004AA" w:rsidRPr="008004AA" w:rsidRDefault="008004AA" w:rsidP="008004AA">
      <w:pPr>
        <w:spacing w:after="0" w:line="240" w:lineRule="auto"/>
        <w:ind w:firstLine="375"/>
        <w:jc w:val="both"/>
        <w:rPr>
          <w:rFonts w:cs="Times New Roman"/>
        </w:rPr>
      </w:pPr>
      <w:r w:rsidRPr="008004AA">
        <w:rPr>
          <w:rFonts w:cs="Times New Roman"/>
        </w:rPr>
        <w:t xml:space="preserve">Структурные продукты являются </w:t>
      </w:r>
      <w:r w:rsidRPr="008004AA">
        <w:rPr>
          <w:rFonts w:cs="Times New Roman"/>
          <w:b/>
        </w:rPr>
        <w:t xml:space="preserve">сложными финансовыми инструментами </w:t>
      </w:r>
      <w:r w:rsidRPr="008004AA">
        <w:rPr>
          <w:rFonts w:cs="Times New Roman"/>
        </w:rPr>
        <w:t>и могут включать в себя несколько видов инструментов, где выплата зависит от изменений определенных характеристик базовых ценных бумаг, фондовых индексов, процентных ставок и других базовых активов и которые могут быть проданы в качестве единого инструмента или быть комплексом взаимосвязанных инструментов.</w:t>
      </w:r>
    </w:p>
    <w:p w14:paraId="0228D763" w14:textId="77777777" w:rsidR="008004AA" w:rsidRPr="008004AA" w:rsidRDefault="008004AA" w:rsidP="008004AA">
      <w:pPr>
        <w:spacing w:after="0" w:line="240" w:lineRule="auto"/>
        <w:ind w:firstLine="375"/>
        <w:jc w:val="both"/>
        <w:rPr>
          <w:rFonts w:cs="Times New Roman"/>
        </w:rPr>
      </w:pPr>
      <w:r w:rsidRPr="008004AA">
        <w:rPr>
          <w:rFonts w:cs="Times New Roman"/>
        </w:rPr>
        <w:t xml:space="preserve">Структурные продукты подвержены </w:t>
      </w:r>
      <w:r w:rsidRPr="008004AA">
        <w:rPr>
          <w:rFonts w:cs="Times New Roman"/>
          <w:b/>
        </w:rPr>
        <w:t>общим рискам</w:t>
      </w:r>
      <w:r w:rsidRPr="008004AA">
        <w:rPr>
          <w:rFonts w:cs="Times New Roman"/>
        </w:rPr>
        <w:t xml:space="preserve">, связанным операциями на финансовых рынках, а также рискам, свойственным </w:t>
      </w:r>
      <w:r w:rsidRPr="008004AA">
        <w:rPr>
          <w:rFonts w:cs="Times New Roman"/>
          <w:b/>
        </w:rPr>
        <w:t>иностранным ценным бумагам</w:t>
      </w:r>
      <w:r w:rsidRPr="008004AA">
        <w:rPr>
          <w:rFonts w:cs="Times New Roman"/>
        </w:rPr>
        <w:t xml:space="preserve">, и рискам, связанным с </w:t>
      </w:r>
      <w:r w:rsidRPr="008004AA">
        <w:rPr>
          <w:rFonts w:cs="Times New Roman"/>
          <w:b/>
        </w:rPr>
        <w:t>финансовыми инструментами, базовым активом которых являются ценные бумаги иностранных эмитентов или иностранные индексы</w:t>
      </w:r>
      <w:r w:rsidRPr="008004AA">
        <w:rPr>
          <w:rFonts w:cs="Times New Roman"/>
        </w:rPr>
        <w:t xml:space="preserve">. </w:t>
      </w:r>
    </w:p>
    <w:p w14:paraId="73DBA5C9" w14:textId="77777777" w:rsidR="008004AA" w:rsidRPr="008004AA" w:rsidRDefault="008004AA" w:rsidP="008004AA">
      <w:pPr>
        <w:spacing w:after="0" w:line="240" w:lineRule="auto"/>
        <w:ind w:firstLine="375"/>
        <w:jc w:val="both"/>
        <w:rPr>
          <w:rFonts w:cs="Times New Roman"/>
        </w:rPr>
      </w:pPr>
      <w:r w:rsidRPr="008004AA">
        <w:rPr>
          <w:rFonts w:cs="Times New Roman"/>
        </w:rPr>
        <w:t xml:space="preserve">Владелец структурного продукта не имеет никаких прав собственности на базовые активы и, следовательно, не будет претендовать на эмитента базовых активов, в том числе в случае его несостоятельности или любого обращения в отношении базового актива. Для инвестора важно оценить </w:t>
      </w:r>
      <w:r w:rsidRPr="008004AA">
        <w:rPr>
          <w:rFonts w:cs="Times New Roman"/>
          <w:b/>
        </w:rPr>
        <w:t>кредитный риск эмитента/гаранта структурного продукта</w:t>
      </w:r>
      <w:r w:rsidRPr="008004AA">
        <w:rPr>
          <w:rFonts w:cs="Times New Roman"/>
        </w:rPr>
        <w:t xml:space="preserve"> при рассмотрении вопроса об инвестициях, поскольку данные финансовые инструменты, как правило, не обеспечены. Структурные продукты не являются депозитами и не защищены какой-либо системой страхования или защиты депозитов. Возможность наступления неплатежеспособности эмитента/гаранта </w:t>
      </w:r>
      <w:r w:rsidRPr="008004AA">
        <w:rPr>
          <w:rFonts w:cs="Times New Roman"/>
        </w:rPr>
        <w:lastRenderedPageBreak/>
        <w:t xml:space="preserve">структурного продукта может привести к резкому падению цены (вплоть до полной потери ликвидности) структурного продукта. Одно или несколько независимых рейтинговых агентств могут присваивать эмитенту кредитные рейтинги. Однако, кредитные рейтинги могут не отражать все риски. Кредитный рейтинг не является рекомендацией покупать, продавать или держать финансовые инструменты и может быть пересмотрен или отозван рейтинговым агентством в любое время. Держатели структурных продуктов должны знать, что кредитные рейтинги не являются гарантией качества структурного продукта. </w:t>
      </w:r>
    </w:p>
    <w:p w14:paraId="4C741266" w14:textId="77777777" w:rsidR="008004AA" w:rsidRPr="008004AA" w:rsidRDefault="008004AA" w:rsidP="008004AA">
      <w:pPr>
        <w:spacing w:after="0" w:line="240" w:lineRule="auto"/>
        <w:ind w:firstLine="375"/>
        <w:jc w:val="both"/>
        <w:rPr>
          <w:rFonts w:cs="Times New Roman"/>
        </w:rPr>
      </w:pPr>
      <w:r w:rsidRPr="008004AA">
        <w:rPr>
          <w:rFonts w:cs="Times New Roman"/>
        </w:rPr>
        <w:t>При приобретении определенных  типов структурных продуктов, инвесторы не приобретают никаких договорных или иных имущественных прав на пул активов, и/или на виртуальный индексный портфель и/или на любой компонент корзины индекса или стратегии структурного продукта. Отсутствуют права требования в отношении индекса или его компонентов, даже, например, в случае погашения, исполнения или закрытия структурного продукта или в случае банкротства Эмитента. Кроме того инвесторы не в праве требовать совершения прямых инвестиций в компоненты (корзины, индексы) структурного продукта или в иные инвестиционные продукты, которые следуют из структурного продукта или воспроизводят структурный продукт.</w:t>
      </w:r>
    </w:p>
    <w:p w14:paraId="1BF29FB5" w14:textId="77777777" w:rsidR="008004AA" w:rsidRPr="008004AA" w:rsidRDefault="008004AA" w:rsidP="008004AA">
      <w:pPr>
        <w:spacing w:after="0" w:line="240" w:lineRule="auto"/>
        <w:ind w:firstLine="375"/>
        <w:jc w:val="both"/>
        <w:rPr>
          <w:rFonts w:cs="Times New Roman"/>
        </w:rPr>
      </w:pPr>
      <w:r w:rsidRPr="008004AA">
        <w:rPr>
          <w:rFonts w:cs="Times New Roman"/>
          <w:b/>
        </w:rPr>
        <w:t>Рыночный (ценовой) риск.</w:t>
      </w:r>
      <w:r w:rsidRPr="008004AA">
        <w:rPr>
          <w:rFonts w:cs="Times New Roman"/>
        </w:rPr>
        <w:t xml:space="preserve"> Основной из рисков, связанных с инвестированием в структурные продукты, является риск потери инвестированной суммы. Поскольку доходность структурного продукта определяется на основании базового актива/активов, инвесторы будут подвержены рискам, связанным с этими базовыми активами. Общая динамика рынка ценных бумаг зависит, в частности, от развития рынков капитала, которые, в свою очередь, зависят от глобальной экономической ситуации, а также от экономических и политических условий в соответствующих странах. Изменения рыночных цен, таких как процентные ставки, цены на товары или волатильность могут оказать негативное влияние на оценку базового актива/активов или структурного продукта. </w:t>
      </w:r>
    </w:p>
    <w:p w14:paraId="45E5B5A0" w14:textId="0B3711E4" w:rsidR="008004AA" w:rsidRPr="008004AA" w:rsidRDefault="008004AA" w:rsidP="008004AA">
      <w:pPr>
        <w:spacing w:after="0" w:line="240" w:lineRule="auto"/>
        <w:ind w:firstLine="375"/>
        <w:jc w:val="both"/>
      </w:pPr>
      <w:r w:rsidRPr="008004AA">
        <w:rPr>
          <w:rFonts w:cs="Times New Roman"/>
        </w:rPr>
        <w:t>Структурные продукты не являются обычными долговыми ценными бумагами, поскольку проценты могут не выплачиваться, а возврат любой суммы, вложенной в структурные продукты, может быть переменным и не гарантируется.</w:t>
      </w:r>
      <w:r w:rsidRPr="008004AA">
        <w:t xml:space="preserve"> </w:t>
      </w:r>
      <w:r w:rsidRPr="008004AA">
        <w:rPr>
          <w:rFonts w:cs="Times New Roman"/>
        </w:rPr>
        <w:t xml:space="preserve">Защитный барьер определяется при первичном размещении структурного продукта, он </w:t>
      </w:r>
      <w:r w:rsidR="00631A98" w:rsidRPr="008004AA">
        <w:rPr>
          <w:rFonts w:cs="Times New Roman"/>
        </w:rPr>
        <w:t>определяет,</w:t>
      </w:r>
      <w:r w:rsidRPr="008004AA">
        <w:rPr>
          <w:rFonts w:cs="Times New Roman"/>
        </w:rPr>
        <w:t xml:space="preserve"> насколько базовый актив может снизиться без ущерба капиталу инвестора. </w:t>
      </w:r>
      <w:r w:rsidRPr="008004AA">
        <w:t xml:space="preserve">В определенных типах структурных продуктов при наличии встроенного защитного барьера защита обеспечивается только в конце срока действия структурного продукта. </w:t>
      </w:r>
    </w:p>
    <w:p w14:paraId="187590EC" w14:textId="77777777" w:rsidR="008004AA" w:rsidRPr="008004AA" w:rsidRDefault="008004AA" w:rsidP="008004AA">
      <w:pPr>
        <w:spacing w:after="0" w:line="240" w:lineRule="auto"/>
        <w:ind w:firstLine="375"/>
        <w:jc w:val="both"/>
        <w:rPr>
          <w:rFonts w:cs="Times New Roman"/>
        </w:rPr>
      </w:pPr>
      <w:r w:rsidRPr="008004AA">
        <w:rPr>
          <w:rFonts w:cs="Times New Roman"/>
        </w:rPr>
        <w:t xml:space="preserve">Вложение в структурные продукты не является эквивалентом вложения в срочный вклад. В отличие от сберегательного счета или аналогичных инвестиций с более низкой доходностью и небольшим или нулевым риском капитала, структурные продукты могут потенциально иметь более высокую доходность, но существует больший риск потери капитала - если базовый эталонный актив/активы не будет двигаться в ожидаемом направлении, инвесторы могут потерять всю вложенную сумму. </w:t>
      </w:r>
    </w:p>
    <w:p w14:paraId="71456062" w14:textId="77777777" w:rsidR="008004AA" w:rsidRPr="008004AA" w:rsidRDefault="008004AA" w:rsidP="008004AA">
      <w:pPr>
        <w:spacing w:after="0" w:line="240" w:lineRule="auto"/>
        <w:ind w:firstLine="375"/>
        <w:jc w:val="both"/>
        <w:rPr>
          <w:rFonts w:cs="Times New Roman"/>
        </w:rPr>
      </w:pPr>
    </w:p>
    <w:p w14:paraId="0D8F87B7" w14:textId="09D83FAF" w:rsidR="008004AA" w:rsidRPr="008004AA" w:rsidRDefault="008004AA" w:rsidP="008004AA">
      <w:pPr>
        <w:spacing w:after="0" w:line="240" w:lineRule="auto"/>
        <w:ind w:firstLine="375"/>
        <w:jc w:val="both"/>
        <w:rPr>
          <w:rFonts w:cs="Times New Roman"/>
        </w:rPr>
      </w:pPr>
      <w:r w:rsidRPr="008004AA">
        <w:rPr>
          <w:rFonts w:cs="Times New Roman"/>
          <w:b/>
        </w:rPr>
        <w:t xml:space="preserve">Риск ликвидности. </w:t>
      </w:r>
      <w:r w:rsidRPr="008004AA">
        <w:rPr>
          <w:rFonts w:cs="Times New Roman"/>
        </w:rPr>
        <w:t xml:space="preserve">Структурные продукты могут не иметь широкого распространения и активного торгового рынка. Соответственно, инвестор подвержен риску того, что его инвестиции в структурные продукты могут быть трудными или невозможными для торговли. Исходя из рыночной практики, эмитент структурного продукта с определенной периодичностью поддерживает двухсторонние котировки по выпущенным продуктам. Однако при резком движении рыночной цены базового актива, на который выпущен структурный продукт, временно может потеряться ликвидность, и инвестор временно не сможет реализовать приобретенный им ранее продукт на вторичном рынке, либо спред котировок </w:t>
      </w:r>
      <w:r w:rsidR="00631A98" w:rsidRPr="008004AA">
        <w:rPr>
          <w:rFonts w:cs="Times New Roman"/>
        </w:rPr>
        <w:t>значительно расширится,</w:t>
      </w:r>
      <w:r w:rsidRPr="008004AA">
        <w:rPr>
          <w:rFonts w:cs="Times New Roman"/>
        </w:rPr>
        <w:t xml:space="preserve"> и инвестор при реализации структурного продукта понесет значительные убытки. Также эмитент или организатор могут не нести никаких обязательств по предоставлению цен спроса и предложения для конкретного структурного продукта, и не предоставлять никаких гарантий определенной ликвидности или определенного спреда (т.е. разницы между ценой покупки и ценой продажи), и поэтому инвесторы не смогут рассчитывать, что смогут купить или продать структурные продукты в определенную дату или по определенной цене. </w:t>
      </w:r>
    </w:p>
    <w:p w14:paraId="5656318D" w14:textId="77777777" w:rsidR="008004AA" w:rsidRPr="008004AA" w:rsidRDefault="008004AA" w:rsidP="008004AA">
      <w:pPr>
        <w:spacing w:after="0" w:line="240" w:lineRule="auto"/>
        <w:ind w:firstLine="375"/>
        <w:jc w:val="both"/>
        <w:rPr>
          <w:rFonts w:cs="Times New Roman"/>
        </w:rPr>
      </w:pPr>
      <w:r w:rsidRPr="008004AA">
        <w:rPr>
          <w:rFonts w:cs="Times New Roman"/>
        </w:rPr>
        <w:lastRenderedPageBreak/>
        <w:t xml:space="preserve">Структурные продукты могут быть приостановлены на торгах и/или исключены из списка организатора торговли в любое время в соответствии с применимыми правилами и положениями соответствующей фондовой биржи. </w:t>
      </w:r>
    </w:p>
    <w:p w14:paraId="43B7BF4C" w14:textId="77777777" w:rsidR="008004AA" w:rsidRPr="008004AA" w:rsidRDefault="008004AA" w:rsidP="008004AA">
      <w:pPr>
        <w:spacing w:after="0" w:line="240" w:lineRule="auto"/>
        <w:ind w:firstLine="375"/>
        <w:jc w:val="both"/>
        <w:rPr>
          <w:rFonts w:cs="Times New Roman"/>
        </w:rPr>
      </w:pPr>
      <w:r w:rsidRPr="008004AA">
        <w:rPr>
          <w:rFonts w:cs="Times New Roman"/>
        </w:rPr>
        <w:t>Существует также риск сбоев на рынке (таких как приостановки торгов на фондовом рынке) и других непредвиденных событий, затрагивающих Базовые активы и/или фондовые биржи или рынки, которые могут произойти в течение срока обращения структурированных продуктов. Такие события могут влиять на время погашения и/или на стоимость структурированных продуктов.</w:t>
      </w:r>
    </w:p>
    <w:p w14:paraId="7B328E9D" w14:textId="77777777" w:rsidR="008004AA" w:rsidRPr="008004AA" w:rsidRDefault="008004AA" w:rsidP="008004AA">
      <w:pPr>
        <w:spacing w:after="0" w:line="240" w:lineRule="auto"/>
        <w:ind w:firstLine="375"/>
        <w:jc w:val="both"/>
        <w:rPr>
          <w:rFonts w:cs="Times New Roman"/>
          <w:b/>
        </w:rPr>
      </w:pPr>
    </w:p>
    <w:p w14:paraId="5D960C3A" w14:textId="45A0445E" w:rsidR="008004AA" w:rsidRPr="008004AA" w:rsidRDefault="008004AA" w:rsidP="008004AA">
      <w:pPr>
        <w:spacing w:after="0" w:line="240" w:lineRule="auto"/>
        <w:ind w:firstLine="375"/>
        <w:jc w:val="both"/>
        <w:rPr>
          <w:rFonts w:cs="Times New Roman"/>
        </w:rPr>
      </w:pPr>
      <w:r w:rsidRPr="008004AA">
        <w:rPr>
          <w:rFonts w:cs="Times New Roman"/>
          <w:b/>
        </w:rPr>
        <w:t>Риск, связанный с оценкой базовых активов.</w:t>
      </w:r>
      <w:r w:rsidRPr="008004AA">
        <w:rPr>
          <w:rFonts w:cs="Times New Roman"/>
        </w:rPr>
        <w:t xml:space="preserve"> Условия структурных продуктов, базовым активом которой являются акции, облигации и индексы, рассчитываемые на основе совокупности цен на финансовые инструменты, предусматривают различные методы определения цен указанных акций, облигаций и индексов, применимые к расчету платежей и поставок, а также, если это применимо, отлагательные и барьерные условия. Необходимо учитывать, что механизм определения цены на биржах или иных площадках может не быть единообразным в течение торгового дня, что может повлиять на стоимость структурного продукта. В рамках механизма оценки может указываться время и место обмена или другое место, в котором должен соблюдаться уровень или стоимость базового актива/активов. В зависимости от того, как рассчитывается уровень или стоимость базового актива/активов, уровень или стоимость такого базового актива/активов могут колебаться в течение торгового дня. Механизм «раскрытия цены», используемый для определения стоимости базового актива/активов, в любой момент времени на биржах или других площадках может быть неодинаковым в течение торгового дня. Это может повлиять на оценку выпуска структурного продукта. </w:t>
      </w:r>
    </w:p>
    <w:p w14:paraId="605FFC30" w14:textId="77777777" w:rsidR="008004AA" w:rsidRPr="008004AA" w:rsidRDefault="008004AA" w:rsidP="008004AA">
      <w:pPr>
        <w:spacing w:after="0" w:line="240" w:lineRule="auto"/>
        <w:ind w:firstLine="375"/>
        <w:jc w:val="both"/>
        <w:rPr>
          <w:rFonts w:cs="Times New Roman"/>
        </w:rPr>
      </w:pPr>
      <w:r w:rsidRPr="008004AA">
        <w:rPr>
          <w:rFonts w:cs="Times New Roman"/>
        </w:rPr>
        <w:t>В случае торговых ограничений, санкций и аналогичных событий эмитент имеет право по своему усмотрению использовать для целей расчета стоимости структурного продукта цену последней сделки по базовым активам, по своему усмотрению установить для них справедливую стоимость или даже рассматривать их как не имеющие стоимости, и/или дополнительно приостановить определение цены на структурный продукт или досрочно ликвидировать структурный продукт.</w:t>
      </w:r>
    </w:p>
    <w:p w14:paraId="5D5AA596" w14:textId="77777777" w:rsidR="008004AA" w:rsidRPr="008004AA" w:rsidRDefault="008004AA" w:rsidP="008004AA">
      <w:pPr>
        <w:spacing w:after="0" w:line="240" w:lineRule="auto"/>
        <w:ind w:firstLine="375"/>
        <w:jc w:val="both"/>
        <w:rPr>
          <w:rFonts w:cs="Times New Roman"/>
        </w:rPr>
      </w:pPr>
      <w:r w:rsidRPr="008004AA">
        <w:rPr>
          <w:rFonts w:cs="Times New Roman"/>
        </w:rPr>
        <w:t>Если какие-либо структурные продукты не перечислены или не торгуются на какой-либо бирже, информация о ценах на структурные продукты может быть более трудной для получения.</w:t>
      </w:r>
    </w:p>
    <w:p w14:paraId="798F57C3" w14:textId="77777777" w:rsidR="008004AA" w:rsidRPr="008004AA" w:rsidRDefault="008004AA" w:rsidP="008004AA">
      <w:pPr>
        <w:spacing w:after="0" w:line="240" w:lineRule="auto"/>
        <w:ind w:firstLine="375"/>
        <w:jc w:val="both"/>
        <w:rPr>
          <w:rFonts w:cs="Times New Roman"/>
        </w:rPr>
      </w:pPr>
    </w:p>
    <w:p w14:paraId="0B26BFBD" w14:textId="77777777" w:rsidR="008004AA" w:rsidRPr="008004AA" w:rsidRDefault="008004AA" w:rsidP="008004AA">
      <w:pPr>
        <w:spacing w:after="0" w:line="240" w:lineRule="auto"/>
        <w:ind w:firstLine="375"/>
        <w:jc w:val="both"/>
        <w:rPr>
          <w:rFonts w:cs="Times New Roman"/>
        </w:rPr>
      </w:pPr>
      <w:r w:rsidRPr="008004AA">
        <w:rPr>
          <w:rFonts w:cs="Times New Roman"/>
          <w:b/>
        </w:rPr>
        <w:t>Правовой риск.</w:t>
      </w:r>
      <w:r w:rsidRPr="008004AA">
        <w:rPr>
          <w:rFonts w:cs="Times New Roman"/>
        </w:rPr>
        <w:t xml:space="preserve"> Обращение структурных продуктов, как правило, происходит на организованных торгах, через торговые площадки и системы исполнения сделок, регулирование которых может быть различным в зависимости от юрисдикции. </w:t>
      </w:r>
    </w:p>
    <w:p w14:paraId="68967EB7" w14:textId="77777777" w:rsidR="008004AA" w:rsidRPr="008004AA" w:rsidRDefault="008004AA" w:rsidP="008004AA">
      <w:pPr>
        <w:spacing w:after="0" w:line="240" w:lineRule="auto"/>
        <w:ind w:firstLine="375"/>
        <w:jc w:val="both"/>
        <w:rPr>
          <w:rFonts w:cs="Times New Roman"/>
        </w:rPr>
      </w:pPr>
      <w:r w:rsidRPr="008004AA">
        <w:rPr>
          <w:rFonts w:cs="Times New Roman"/>
        </w:rPr>
        <w:t>Нормативно-правовые акты отличаются в зависимости от страны совершения сделки с применением правом страны, являющимся личным законом иностранной организации, что может приводить к возникновению препятствий эффективной защиты прав вследствие необходимости применения норм иностранного государства. Условия структурных продуктов обычно основаны на действующем законодательстве на дату соответствующего условия о размещении. Существует риск того, что толкование и / или влияние условий может быть изменено таким образом, что это может отрицательно повлиять на договорные права инвесторов. Нельзя дать никаких гарантий относительно влияния любого возможного судебного решения или изменения применимого законодательства или административную практику после выпуска структурного продукта.</w:t>
      </w:r>
    </w:p>
    <w:p w14:paraId="70881023" w14:textId="77777777" w:rsidR="008004AA" w:rsidRPr="008004AA" w:rsidRDefault="008004AA" w:rsidP="008004AA">
      <w:pPr>
        <w:spacing w:after="0" w:line="240" w:lineRule="auto"/>
        <w:ind w:firstLine="375"/>
        <w:jc w:val="both"/>
        <w:rPr>
          <w:rFonts w:cs="Times New Roman"/>
        </w:rPr>
      </w:pPr>
      <w:r w:rsidRPr="008004AA">
        <w:rPr>
          <w:rFonts w:cs="Times New Roman"/>
        </w:rPr>
        <w:t>Перед совершением сделки инвестор должен внимательно ознакомиться с применимыми иностранными законами, правилами и средствами защиты в отношении конкретной сделки.</w:t>
      </w:r>
    </w:p>
    <w:p w14:paraId="2EE010DE" w14:textId="77777777" w:rsidR="008004AA" w:rsidRPr="008004AA" w:rsidRDefault="008004AA" w:rsidP="008004AA">
      <w:pPr>
        <w:spacing w:after="0" w:line="240" w:lineRule="auto"/>
        <w:ind w:firstLine="375"/>
        <w:jc w:val="both"/>
        <w:rPr>
          <w:rFonts w:cs="Times New Roman"/>
        </w:rPr>
      </w:pPr>
    </w:p>
    <w:p w14:paraId="64F3DBC1" w14:textId="48992B50" w:rsidR="008004AA" w:rsidRPr="008004AA" w:rsidRDefault="008004AA" w:rsidP="008004AA">
      <w:pPr>
        <w:spacing w:after="0" w:line="240" w:lineRule="auto"/>
        <w:ind w:firstLine="375"/>
        <w:jc w:val="both"/>
        <w:rPr>
          <w:rFonts w:cs="Times New Roman"/>
        </w:rPr>
      </w:pPr>
      <w:r w:rsidRPr="008004AA">
        <w:rPr>
          <w:rFonts w:cs="Times New Roman"/>
          <w:b/>
        </w:rPr>
        <w:t>Валютный риск.</w:t>
      </w:r>
      <w:r w:rsidRPr="008004AA">
        <w:rPr>
          <w:rFonts w:cs="Times New Roman"/>
        </w:rPr>
        <w:t xml:space="preserve"> Если базовый актив/активы деноминирован в валюте, отличной от базовой валюты продукта, инвесторы должны учитывать риски, связанные с колебаниями обменных курсов, и тот факт, что риск убытков определяется не только динамикой стоимости базового актива, но также и неблагоприятной динамикой курса валюты или валют. Это не относится к продуктам с хеджированием валютного курса. Существенные риски, связанные с конвертацией валюты, включают в себя риск того, что обменные курсы могут существенно измениться (включая изменения в связи с повышением курса валюты инвестора по отношению к валюте расчетов). </w:t>
      </w:r>
      <w:r w:rsidRPr="008004AA">
        <w:rPr>
          <w:rFonts w:cs="Times New Roman"/>
        </w:rPr>
        <w:lastRenderedPageBreak/>
        <w:t xml:space="preserve">Инвесторы также должны осознавать, что существует риск того, что органы регулирования, обладающие юрисдикцией в отношении валюты инвестора или валюты расчетов, могут </w:t>
      </w:r>
      <w:r w:rsidR="00631A98" w:rsidRPr="008004AA">
        <w:rPr>
          <w:rFonts w:cs="Times New Roman"/>
        </w:rPr>
        <w:t>изменить меры</w:t>
      </w:r>
      <w:r w:rsidRPr="008004AA">
        <w:rPr>
          <w:rFonts w:cs="Times New Roman"/>
        </w:rPr>
        <w:t xml:space="preserve"> валютного контроля, которые могут неблагоприятно повлиять на применимый обменный курс или перевод средств в страну и из страны.</w:t>
      </w:r>
    </w:p>
    <w:p w14:paraId="7A426369" w14:textId="77777777" w:rsidR="008004AA" w:rsidRPr="008004AA" w:rsidRDefault="008004AA" w:rsidP="008004AA">
      <w:pPr>
        <w:spacing w:after="0" w:line="240" w:lineRule="auto"/>
        <w:ind w:firstLine="375"/>
        <w:jc w:val="both"/>
        <w:rPr>
          <w:rFonts w:cs="Times New Roman"/>
        </w:rPr>
      </w:pPr>
    </w:p>
    <w:p w14:paraId="5FECAD5A" w14:textId="77777777" w:rsidR="008004AA" w:rsidRPr="008004AA" w:rsidRDefault="008004AA" w:rsidP="008004AA">
      <w:pPr>
        <w:spacing w:after="0" w:line="240" w:lineRule="auto"/>
        <w:ind w:firstLine="375"/>
        <w:jc w:val="both"/>
        <w:rPr>
          <w:rFonts w:cs="Times New Roman"/>
        </w:rPr>
      </w:pPr>
      <w:r w:rsidRPr="008004AA">
        <w:rPr>
          <w:rFonts w:cs="Times New Roman"/>
          <w:b/>
        </w:rPr>
        <w:t xml:space="preserve">Риск досрочного прекращения. </w:t>
      </w:r>
      <w:r w:rsidRPr="008004AA">
        <w:rPr>
          <w:rFonts w:cs="Times New Roman"/>
        </w:rPr>
        <w:t xml:space="preserve">В отношении определенных типов структурных продуктов обязательное досрочное погашение или прекращение происходит, если соблюдены определенные условия, изложенные в соответствующем перечне условий. Поэтому инвесторы должны знать, что некоторые типы структурных продуктов могут быть прекращены до указанной даты погашения или даты истечения срока действия. Обращаем внимание на возможность досрочного погашения структурного продукта по причине чрезвычайных обстоятельств, оказывающих влияние на эмитента - при изменении индекса, при изменениях в законодательстве, при наступлении обстоятельств, которые могут повлиять на рынки базового актива/активов или взаимосвязанных инструментов, или на возможность эмитента продукта осуществлять хеджирование или на его издержки. </w:t>
      </w:r>
    </w:p>
    <w:p w14:paraId="15C3396E" w14:textId="77777777" w:rsidR="008004AA" w:rsidRPr="008004AA" w:rsidRDefault="008004AA" w:rsidP="008004AA">
      <w:pPr>
        <w:spacing w:after="0" w:line="240" w:lineRule="auto"/>
        <w:ind w:firstLine="375"/>
        <w:jc w:val="both"/>
        <w:rPr>
          <w:rFonts w:cs="Times New Roman"/>
        </w:rPr>
      </w:pPr>
    </w:p>
    <w:p w14:paraId="7D7EDB5E" w14:textId="77777777" w:rsidR="008004AA" w:rsidRPr="008004AA" w:rsidRDefault="008004AA" w:rsidP="008004AA">
      <w:pPr>
        <w:spacing w:after="0" w:line="240" w:lineRule="auto"/>
        <w:ind w:firstLine="375"/>
        <w:jc w:val="both"/>
        <w:rPr>
          <w:rFonts w:cs="Times New Roman"/>
        </w:rPr>
      </w:pPr>
      <w:r w:rsidRPr="008004AA">
        <w:rPr>
          <w:rFonts w:cs="Times New Roman"/>
          <w:b/>
        </w:rPr>
        <w:t>Комиссия и стоимость хеджирования.</w:t>
      </w:r>
      <w:r w:rsidRPr="008004AA">
        <w:rPr>
          <w:rFonts w:cs="Times New Roman"/>
        </w:rPr>
        <w:t xml:space="preserve"> Первоначальная цена структурного продукта может включать комиссию за распространение или комиссию, взимаемую эмитентом, а также стоимость или ожидаемую стоимость хеджирования обязательств эмитента (если применимо). Соответственно, существует риск того, что при выпуске цена, по которой эмитент или его аффилированные лица захотят приобрести структурные продукты у инвестора на вторичном рынке, будет ниже, чем первоначальная цена выпуска, если таковая имеется. Такая плата, комиссия и стоимость хеджирования также могут быть вычтены из суммы погашения, подлежащей выплате при прекращении структурных продуктов. Кроме того, любые такие цены могут отличаться от значений, определенных моделями ценообразования, используемыми Эмитентом или аффилированными лицами в результате операционных издержек.</w:t>
      </w:r>
    </w:p>
    <w:p w14:paraId="06B29E03" w14:textId="77777777" w:rsidR="008004AA" w:rsidRPr="008004AA" w:rsidRDefault="008004AA" w:rsidP="008004AA">
      <w:pPr>
        <w:spacing w:after="0" w:line="240" w:lineRule="auto"/>
        <w:ind w:firstLine="375"/>
        <w:jc w:val="both"/>
        <w:rPr>
          <w:rFonts w:cs="Times New Roman"/>
        </w:rPr>
      </w:pPr>
    </w:p>
    <w:p w14:paraId="0D648C1F" w14:textId="77777777" w:rsidR="008004AA" w:rsidRPr="008004AA" w:rsidRDefault="008004AA" w:rsidP="008004AA">
      <w:pPr>
        <w:spacing w:after="0" w:line="240" w:lineRule="auto"/>
        <w:ind w:firstLine="375"/>
        <w:jc w:val="both"/>
        <w:rPr>
          <w:rFonts w:cs="Times New Roman"/>
        </w:rPr>
      </w:pPr>
      <w:r w:rsidRPr="008004AA">
        <w:rPr>
          <w:rFonts w:cs="Times New Roman"/>
          <w:b/>
        </w:rPr>
        <w:t xml:space="preserve">Риски, связанные с конкретным выпуском структурного продукта. </w:t>
      </w:r>
      <w:r w:rsidRPr="008004AA">
        <w:rPr>
          <w:rFonts w:cs="Times New Roman"/>
        </w:rPr>
        <w:t>Банки и другие финансовые учреждения могут выпускать широкий спектр структурных продуктов. Условия структурного продукта могут предусматривать полное обесценивание первоначальной суммы инвестирования или потерю накопленного дохода при наступлении условий, определенных в описании структурного продукта. Некоторые из них имеют особенности, которые представляют особые риски для инвесторов. Инвестор должен внимательно ознакомиться с условиями и содержанием  документов, регулирующих выпуски и обращение конкретного структурного продукта.</w:t>
      </w:r>
    </w:p>
    <w:p w14:paraId="6560291F" w14:textId="77777777" w:rsidR="008004AA" w:rsidRPr="008004AA" w:rsidRDefault="008004AA" w:rsidP="008004AA">
      <w:pPr>
        <w:spacing w:after="0" w:line="240" w:lineRule="auto"/>
        <w:ind w:firstLine="375"/>
        <w:jc w:val="both"/>
        <w:rPr>
          <w:rFonts w:cs="Times New Roman"/>
        </w:rPr>
      </w:pPr>
      <w:r w:rsidRPr="008004AA">
        <w:rPr>
          <w:rFonts w:cs="Times New Roman"/>
        </w:rPr>
        <w:t xml:space="preserve">Инвесторы в структурные продукты должны учитывать, что, если иное не указано в применимых условиях, право владельца структурного продукта будет ограничено суммами, полученными путем предъявления требования по гарантии. Гарантия может покрывать только часть платежных обязательств эмитента. </w:t>
      </w:r>
    </w:p>
    <w:p w14:paraId="35167C61" w14:textId="77777777" w:rsidR="008004AA" w:rsidRPr="008004AA" w:rsidRDefault="008004AA" w:rsidP="008004AA">
      <w:pPr>
        <w:spacing w:after="0" w:line="240" w:lineRule="auto"/>
        <w:ind w:firstLine="375"/>
        <w:jc w:val="both"/>
        <w:rPr>
          <w:rFonts w:cs="Times New Roman"/>
        </w:rPr>
      </w:pPr>
      <w:r w:rsidRPr="008004AA">
        <w:rPr>
          <w:rFonts w:cs="Times New Roman"/>
        </w:rPr>
        <w:t>В ходе своей обычной деятельности эмитенты, гарант и/или любой из их аффилированных лиц могут осуществлять транзакции для своего собственного счета или для счета своих клиентов,  которые могут рассматриваться как противоречащие интересам действующих владельцев. Соответственно, существует риск того, что определенные конфликты интересов могут возникнуть как между эмитентом или его аффилированными лицами, так и между интересами эмитента или этих аффилированных лиц и интересами владельцев структурного продукта.</w:t>
      </w:r>
    </w:p>
    <w:p w14:paraId="3AAE6137" w14:textId="77777777" w:rsidR="008004AA" w:rsidRPr="008004AA" w:rsidRDefault="008004AA" w:rsidP="008004AA">
      <w:pPr>
        <w:spacing w:after="0" w:line="240" w:lineRule="auto"/>
        <w:ind w:firstLine="375"/>
        <w:jc w:val="both"/>
        <w:rPr>
          <w:rFonts w:cs="Times New Roman"/>
        </w:rPr>
      </w:pPr>
      <w:r w:rsidRPr="008004AA">
        <w:rPr>
          <w:rFonts w:cs="Times New Roman"/>
        </w:rPr>
        <w:t>Условиями выпуска может быть предусмотрено, что ее эмитент имеет право определять необходимость или допустимость корректировки параметров ноты, включая замену базовых ценных бумаг, а также условия и дату вступления в силу соответствующей корректировки. Итоговый результат такой корректировки может быть сложно предсказать заранее.</w:t>
      </w:r>
    </w:p>
    <w:p w14:paraId="4ED45BDD" w14:textId="77777777" w:rsidR="008004AA" w:rsidRPr="008004AA" w:rsidRDefault="008004AA" w:rsidP="008004AA">
      <w:pPr>
        <w:spacing w:after="0" w:line="240" w:lineRule="auto"/>
        <w:ind w:firstLine="375"/>
        <w:jc w:val="both"/>
        <w:rPr>
          <w:rFonts w:cs="Times New Roman"/>
        </w:rPr>
      </w:pPr>
    </w:p>
    <w:p w14:paraId="43D501CE" w14:textId="77777777" w:rsidR="008004AA" w:rsidRPr="008004AA" w:rsidRDefault="008004AA" w:rsidP="008004AA">
      <w:pPr>
        <w:spacing w:after="0" w:line="240" w:lineRule="auto"/>
        <w:ind w:firstLine="375"/>
        <w:jc w:val="both"/>
        <w:rPr>
          <w:rFonts w:cs="Times New Roman"/>
        </w:rPr>
      </w:pPr>
      <w:r w:rsidRPr="008004AA">
        <w:rPr>
          <w:rFonts w:cs="Times New Roman"/>
          <w:b/>
        </w:rPr>
        <w:t>Расчет агента по усмотрению и оценке.</w:t>
      </w:r>
      <w:r w:rsidRPr="008004AA">
        <w:rPr>
          <w:rFonts w:cs="Times New Roman"/>
        </w:rPr>
        <w:t xml:space="preserve"> Расчет процентных выплат (если применимо) и / или суммы, подлежащей выплате в отношении погашения, истечения срока действия или исполнения, может осуществляться на основе определенных ставок, опубликованных в биржевой или другой системе котировок, или, если любая такая ставка или уровень или значение не отображаются в </w:t>
      </w:r>
      <w:r w:rsidRPr="008004AA">
        <w:rPr>
          <w:rFonts w:cs="Times New Roman"/>
        </w:rPr>
        <w:lastRenderedPageBreak/>
        <w:t xml:space="preserve">соответствующий момент времени, уровень или значение (в зависимости от обстоятельств), определенные расчетным агентом по собственному усмотрению. Структурные продукты могут быть погашены (если применимо) до наступления срока их погашения в определенных обстоятельствах по сумме, определенной расчетным агентом, которая может быть меньше их номинальной суммы. Соответственно, инвестор подвержен риску того, что расчет платежа может быть определен одной стороной, которая может быть самим эмитентом или его аффилированными лицами, и инвестор не может возражать против такого расчета или определения. Расчетному агенту может быть разрешено использовать его собственные модели при определении условий корректировки, и инвесторам может быть сложно предсказать результирующие корректировки заранее. </w:t>
      </w:r>
    </w:p>
    <w:p w14:paraId="5DB3117A" w14:textId="77777777" w:rsidR="008004AA" w:rsidRPr="008004AA" w:rsidRDefault="008004AA" w:rsidP="008004AA">
      <w:pPr>
        <w:spacing w:after="0" w:line="240" w:lineRule="auto"/>
        <w:ind w:firstLine="375"/>
        <w:jc w:val="both"/>
        <w:rPr>
          <w:rFonts w:cs="Times New Roman"/>
        </w:rPr>
      </w:pPr>
    </w:p>
    <w:p w14:paraId="39B266C3" w14:textId="77777777" w:rsidR="007B3323" w:rsidRPr="008004AA" w:rsidRDefault="007B3323" w:rsidP="007B3323">
      <w:pPr>
        <w:spacing w:after="100" w:afterAutospacing="1" w:line="240" w:lineRule="auto"/>
        <w:ind w:firstLine="375"/>
        <w:jc w:val="center"/>
        <w:rPr>
          <w:rFonts w:cs="Times New Roman"/>
        </w:rPr>
      </w:pPr>
      <w:r w:rsidRPr="008004AA">
        <w:rPr>
          <w:rFonts w:cs="Times New Roman"/>
        </w:rPr>
        <w:t>***</w:t>
      </w:r>
    </w:p>
    <w:p w14:paraId="0C1D20D5" w14:textId="77777777" w:rsidR="007B3323" w:rsidRPr="008004AA" w:rsidRDefault="007B3323" w:rsidP="00BC4673">
      <w:pPr>
        <w:spacing w:after="0" w:line="240" w:lineRule="auto"/>
        <w:ind w:firstLine="375"/>
        <w:jc w:val="both"/>
        <w:rPr>
          <w:rFonts w:cs="Times New Roman"/>
          <w:bCs/>
        </w:rPr>
      </w:pPr>
      <w:r w:rsidRPr="008004AA">
        <w:rPr>
          <w:rFonts w:cs="Times New Roman"/>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r w:rsidR="00BC4673" w:rsidRPr="008004AA">
        <w:rPr>
          <w:rFonts w:cs="Times New Roman"/>
        </w:rPr>
        <w:t xml:space="preserve"> </w:t>
      </w:r>
      <w:r w:rsidRPr="008004AA">
        <w:rPr>
          <w:rFonts w:cs="Times New Roman"/>
          <w:bCs/>
        </w:rPr>
        <w:t>Убедитесь, что настоящая Декларация о рисках понятна Вам, и при необходимости получите разъяснения у консультанта, специализирующегося на соответствующих вопросах.</w:t>
      </w:r>
    </w:p>
    <w:p w14:paraId="548144A0" w14:textId="77777777" w:rsidR="00BC4673" w:rsidRPr="008004AA" w:rsidRDefault="00BC4673" w:rsidP="00BC4673">
      <w:pPr>
        <w:spacing w:after="0" w:line="240" w:lineRule="auto"/>
        <w:ind w:firstLine="375"/>
        <w:jc w:val="both"/>
        <w:rPr>
          <w:rFonts w:cs="Times New Roman"/>
          <w:bCs/>
        </w:rPr>
      </w:pPr>
    </w:p>
    <w:tbl>
      <w:tblPr>
        <w:tblW w:w="9464" w:type="dxa"/>
        <w:tblCellMar>
          <w:left w:w="0" w:type="dxa"/>
          <w:right w:w="0" w:type="dxa"/>
        </w:tblCellMar>
        <w:tblLook w:val="04A0" w:firstRow="1" w:lastRow="0" w:firstColumn="1" w:lastColumn="0" w:noHBand="0" w:noVBand="1"/>
      </w:tblPr>
      <w:tblGrid>
        <w:gridCol w:w="9464"/>
      </w:tblGrid>
      <w:tr w:rsidR="007B3323" w:rsidRPr="008004AA" w14:paraId="72496F67" w14:textId="77777777" w:rsidTr="005437E8">
        <w:tc>
          <w:tcPr>
            <w:tcW w:w="9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327F45" w14:textId="77777777" w:rsidR="007B3323" w:rsidRPr="008004AA" w:rsidRDefault="007B3323" w:rsidP="007B3323">
            <w:pPr>
              <w:spacing w:line="360" w:lineRule="auto"/>
              <w:ind w:firstLine="567"/>
              <w:jc w:val="both"/>
              <w:rPr>
                <w:rFonts w:cs="Times New Roman"/>
                <w:b/>
                <w:bCs/>
              </w:rPr>
            </w:pPr>
            <w:r w:rsidRPr="008004AA">
              <w:rPr>
                <w:rFonts w:cs="Times New Roman"/>
                <w:b/>
                <w:bCs/>
              </w:rPr>
              <w:t>КЛИЕНТ</w:t>
            </w:r>
          </w:p>
        </w:tc>
      </w:tr>
      <w:tr w:rsidR="007B3323" w:rsidRPr="008004AA" w14:paraId="6D6943B8" w14:textId="77777777" w:rsidTr="005437E8">
        <w:tc>
          <w:tcPr>
            <w:tcW w:w="94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43ADA5" w14:textId="77777777" w:rsidR="007B3323" w:rsidRPr="008004AA" w:rsidRDefault="007B3323" w:rsidP="007B3323">
            <w:pPr>
              <w:spacing w:line="360" w:lineRule="auto"/>
              <w:ind w:firstLine="567"/>
              <w:jc w:val="both"/>
              <w:rPr>
                <w:rFonts w:cs="Times New Roman"/>
              </w:rPr>
            </w:pPr>
          </w:p>
        </w:tc>
      </w:tr>
      <w:tr w:rsidR="007B3323" w:rsidRPr="008004AA" w14:paraId="525CC849" w14:textId="77777777" w:rsidTr="005437E8">
        <w:trPr>
          <w:trHeight w:val="2421"/>
        </w:trPr>
        <w:tc>
          <w:tcPr>
            <w:tcW w:w="946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57CD32" w14:textId="77777777" w:rsidR="007B3323" w:rsidRPr="008004AA" w:rsidRDefault="007B3323" w:rsidP="007B3323">
            <w:pPr>
              <w:spacing w:line="360" w:lineRule="auto"/>
              <w:ind w:firstLine="567"/>
              <w:jc w:val="both"/>
              <w:rPr>
                <w:rFonts w:cs="Times New Roman"/>
                <w:i/>
              </w:rPr>
            </w:pPr>
            <w:r w:rsidRPr="008004AA">
              <w:rPr>
                <w:rFonts w:cs="Times New Roman"/>
                <w:i/>
              </w:rPr>
              <w:t>Полное наименование / Ф.И.О</w:t>
            </w:r>
            <w:r w:rsidR="00BC4673" w:rsidRPr="008004AA">
              <w:rPr>
                <w:rFonts w:cs="Times New Roman"/>
                <w:i/>
              </w:rPr>
              <w:t>.</w:t>
            </w:r>
            <w:r w:rsidRPr="008004AA">
              <w:rPr>
                <w:rFonts w:cs="Times New Roman"/>
                <w:i/>
              </w:rPr>
              <w:t xml:space="preserve"> полностью</w:t>
            </w:r>
          </w:p>
          <w:p w14:paraId="1567F1F9" w14:textId="77777777" w:rsidR="007B3323" w:rsidRPr="008004AA" w:rsidRDefault="007B3323" w:rsidP="007B3323">
            <w:pPr>
              <w:spacing w:line="360" w:lineRule="auto"/>
              <w:ind w:firstLine="567"/>
              <w:jc w:val="both"/>
              <w:rPr>
                <w:rFonts w:cs="Times New Roman"/>
              </w:rPr>
            </w:pPr>
          </w:p>
          <w:p w14:paraId="4FBAAC35" w14:textId="77777777" w:rsidR="007B3323" w:rsidRPr="008004AA" w:rsidRDefault="007B3323" w:rsidP="007B3323">
            <w:pPr>
              <w:spacing w:after="0" w:line="240" w:lineRule="auto"/>
              <w:ind w:firstLine="567"/>
              <w:jc w:val="both"/>
              <w:rPr>
                <w:rFonts w:cs="Times New Roman"/>
              </w:rPr>
            </w:pPr>
            <w:r w:rsidRPr="008004AA">
              <w:rPr>
                <w:rFonts w:cs="Times New Roman"/>
              </w:rPr>
              <w:t>_______________________/____________________</w:t>
            </w:r>
          </w:p>
          <w:p w14:paraId="476D436C" w14:textId="77777777" w:rsidR="007B3323" w:rsidRPr="008004AA" w:rsidRDefault="007B3323" w:rsidP="007B3323">
            <w:pPr>
              <w:spacing w:after="0" w:line="240" w:lineRule="auto"/>
              <w:ind w:firstLine="567"/>
              <w:jc w:val="both"/>
              <w:rPr>
                <w:rFonts w:cs="Times New Roman"/>
                <w:i/>
              </w:rPr>
            </w:pPr>
            <w:r w:rsidRPr="008004AA">
              <w:rPr>
                <w:rFonts w:cs="Times New Roman"/>
                <w:i/>
              </w:rPr>
              <w:t xml:space="preserve">                       (подпись)                                       (Ф.И.О.)</w:t>
            </w:r>
          </w:p>
          <w:p w14:paraId="45C05BBA" w14:textId="77777777" w:rsidR="007B3323" w:rsidRPr="008004AA" w:rsidRDefault="007B3323" w:rsidP="007B3323">
            <w:pPr>
              <w:spacing w:line="360" w:lineRule="auto"/>
              <w:ind w:firstLine="567"/>
              <w:jc w:val="both"/>
              <w:rPr>
                <w:rFonts w:cs="Times New Roman"/>
                <w:i/>
              </w:rPr>
            </w:pPr>
          </w:p>
          <w:p w14:paraId="7F8BD212" w14:textId="77777777" w:rsidR="007B3323" w:rsidRPr="008004AA" w:rsidRDefault="007B3323" w:rsidP="007B3323">
            <w:pPr>
              <w:spacing w:after="20" w:line="360" w:lineRule="auto"/>
              <w:ind w:firstLine="567"/>
              <w:jc w:val="both"/>
              <w:rPr>
                <w:rFonts w:cs="Times New Roman"/>
              </w:rPr>
            </w:pPr>
            <w:r w:rsidRPr="008004AA">
              <w:rPr>
                <w:rFonts w:cs="Times New Roman"/>
              </w:rPr>
              <w:t xml:space="preserve">Подписано «___» </w:t>
            </w:r>
            <w:r w:rsidR="00BC4673" w:rsidRPr="008004AA">
              <w:rPr>
                <w:rFonts w:cs="Times New Roman"/>
              </w:rPr>
              <w:t>_______________ 20_</w:t>
            </w:r>
            <w:r w:rsidRPr="008004AA">
              <w:rPr>
                <w:rFonts w:cs="Times New Roman"/>
              </w:rPr>
              <w:t>__ г.</w:t>
            </w:r>
          </w:p>
          <w:p w14:paraId="32070522" w14:textId="77777777" w:rsidR="007B3323" w:rsidRPr="008004AA" w:rsidRDefault="007B3323" w:rsidP="007B3323">
            <w:pPr>
              <w:spacing w:after="20" w:line="360" w:lineRule="auto"/>
              <w:ind w:firstLine="567"/>
              <w:jc w:val="both"/>
              <w:rPr>
                <w:rFonts w:cs="Times New Roman"/>
              </w:rPr>
            </w:pPr>
          </w:p>
        </w:tc>
      </w:tr>
    </w:tbl>
    <w:p w14:paraId="4C7C77AE" w14:textId="77777777" w:rsidR="007B3323" w:rsidRPr="008004AA" w:rsidRDefault="007B3323" w:rsidP="007B3323">
      <w:pPr>
        <w:spacing w:after="0" w:line="240" w:lineRule="auto"/>
        <w:ind w:firstLine="249"/>
        <w:jc w:val="both"/>
        <w:rPr>
          <w:rFonts w:cs="Times New Roman"/>
        </w:rPr>
      </w:pPr>
    </w:p>
    <w:p w14:paraId="5E081BE9" w14:textId="77777777" w:rsidR="000842B4" w:rsidRPr="008004AA" w:rsidRDefault="000842B4" w:rsidP="007B3323">
      <w:pPr>
        <w:jc w:val="both"/>
      </w:pPr>
    </w:p>
    <w:sectPr w:rsidR="000842B4" w:rsidRPr="00800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279"/>
    <w:rsid w:val="000842B4"/>
    <w:rsid w:val="000D0BB9"/>
    <w:rsid w:val="00217409"/>
    <w:rsid w:val="002F6A7A"/>
    <w:rsid w:val="00327347"/>
    <w:rsid w:val="004343D6"/>
    <w:rsid w:val="00604055"/>
    <w:rsid w:val="006145FD"/>
    <w:rsid w:val="00631A98"/>
    <w:rsid w:val="007306C2"/>
    <w:rsid w:val="007B3323"/>
    <w:rsid w:val="008004AA"/>
    <w:rsid w:val="008B6279"/>
    <w:rsid w:val="008E657C"/>
    <w:rsid w:val="009F0549"/>
    <w:rsid w:val="00B61D72"/>
    <w:rsid w:val="00BC4673"/>
    <w:rsid w:val="00BC7432"/>
    <w:rsid w:val="00D41D8B"/>
    <w:rsid w:val="00E955AE"/>
    <w:rsid w:val="00F61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95CC"/>
  <w15:docId w15:val="{3C53F24C-6F0B-DF4A-BD10-A3F514AB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3903</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 Romaniuk</cp:lastModifiedBy>
  <cp:revision>6</cp:revision>
  <cp:lastPrinted>2019-10-09T13:52:00Z</cp:lastPrinted>
  <dcterms:created xsi:type="dcterms:W3CDTF">2019-11-29T12:14:00Z</dcterms:created>
  <dcterms:modified xsi:type="dcterms:W3CDTF">2022-07-12T13:34:00Z</dcterms:modified>
</cp:coreProperties>
</file>